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>白内障手术前须知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注意眼部卫生，术前应每日滴用抗生素眼药水4～5次。眼分泌物（眼屎）多时不宜手术。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患细菌或病毒性结、角膜炎，副鼻窦炎急性发作或发热性、感染性疾病时不宜手术。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患青光眼、帕金森病、糖尿病、高血压、心脏病、中风或凝血障碍等可危及眼部手术或危及生命的基础疾病，应住院手术治疗，以策安全。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sz w:val="24"/>
          <w:szCs w:val="24"/>
          <w:u w:val="single" w:color="auto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single" w:color="auto"/>
          <w:lang w:val="en-US" w:eastAsia="zh-CN"/>
        </w:rPr>
        <w:t>白内障手术后指引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勿揉眼、负重、用力擤鼻涕及咳嗽。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术后术眼宜滴用抗生素及激素类眼药水每日3～6次，持续1～3个月。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术后15～30天内，宜每周来院复查一次；以后1～2月，每半月复查一次。有屈光不正宜3个月后配戴眼镜。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术后如发生后发性白内障时，需行激光切开后囊。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 xml:space="preserve"> </w:t>
      </w: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清远市广清医院</w:t>
      </w: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白内障复明术前检查表</w:t>
      </w: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both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糖尿病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高血压      心脏病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近视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度    老视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度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ECCE∕Slimce∕MSICS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3336"/>
        </w:tabs>
        <w:jc w:val="center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>性别  男∕女   年龄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>岁</w:t>
      </w:r>
    </w:p>
    <w:p>
      <w:pPr>
        <w:tabs>
          <w:tab w:val="left" w:pos="3336"/>
        </w:tabs>
        <w:jc w:val="both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 xml:space="preserve">     身 份 证：</w:t>
      </w:r>
      <w:r>
        <w:rPr>
          <w:rFonts w:hint="eastAsia" w:ascii="宋体" w:hAnsi="宋体" w:cs="宋体"/>
          <w:sz w:val="28"/>
          <w:szCs w:val="28"/>
          <w:u w:val="single" w:color="auto"/>
          <w:lang w:val="en-US" w:eastAsia="zh-CN"/>
        </w:rPr>
        <w:t xml:space="preserve">                                      </w:t>
      </w:r>
    </w:p>
    <w:p>
      <w:pPr>
        <w:tabs>
          <w:tab w:val="left" w:pos="3336"/>
        </w:tabs>
        <w:jc w:val="both"/>
        <w:rPr>
          <w:rFonts w:hint="eastAsia" w:ascii="宋体" w:hAnsi="宋体" w:cs="宋体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 xml:space="preserve">     住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>址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u w:val="single" w:color="auto"/>
          <w:lang w:val="en-US" w:eastAsia="zh-CN"/>
        </w:rPr>
        <w:sectPr>
          <w:headerReference r:id="rId3" w:type="default"/>
          <w:pgSz w:w="16840" w:h="11907" w:orient="landscape"/>
          <w:pgMar w:top="1418" w:right="1701" w:bottom="1418" w:left="1418" w:header="851" w:footer="992" w:gutter="0"/>
          <w:pgNumType w:fmt="decimal"/>
          <w:cols w:equalWidth="0" w:num="2">
            <w:col w:w="6648" w:space="425"/>
            <w:col w:w="6648"/>
          </w:cols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 xml:space="preserve"> 联 系 人：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>电话：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tabs>
          <w:tab w:val="left" w:pos="3336"/>
        </w:tabs>
        <w:jc w:val="both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视朦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年，看不见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血压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∕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mmhg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结膜：无充血∕结膜充血∕睫状充血∕混合性充血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结膜囊分泌物：无∕少∕多  浆液样∕粘液∕粘白∕粘脓性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角膜：透明∕血管翳∕云翳∕白斑； KP：色素∕脂样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  <w:u w:val="singl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前房轴深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 CT;  周边前房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1∕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 CT； 房闪：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瞳孔：D=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mm   圆  欠圆  后粘连  闭锁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瞳孔对光反射：  灵敏∕迟钝∕消失 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视力：OD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 OS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  视功能OD∕OS  光觉：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m  </w:t>
      </w:r>
    </w:p>
    <w:p>
      <w:pPr>
        <w:keepNext w:val="0"/>
        <w:keepLines w:val="0"/>
        <w:pageBreakBefore w:val="0"/>
        <w:widowControl w:val="0"/>
        <w:pBdr>
          <w:between w:val="single" w:color="auto" w:sz="4" w:space="0"/>
        </w:pBdr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光定位</w:t>
      </w: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drawing>
          <wp:inline distT="0" distB="0" distL="114300" distR="114300">
            <wp:extent cx="419100" cy="364490"/>
            <wp:effectExtent l="0" t="0" r="0" b="16510"/>
            <wp:docPr id="2" name="图片 1" descr="QQ图片2014090115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1409011527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色觉：红（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） 蓝（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）绿（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）</w:t>
      </w: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眼压：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mmhg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420" w:leftChars="0" w:right="0" w:rightChars="0" w:hanging="420" w:hanging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泪道：通畅∕阻塞∕返流；  脓性物：无∕少∕多                  白内障分型：C   N   P    （OD∕OS）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角膜曲率K1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 K2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 眼轴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mm</w:t>
      </w: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IOL</w:t>
      </w:r>
      <w:r>
        <w:rPr>
          <w:rFonts w:hint="eastAsia" w:ascii="宋体" w:hAnsi="宋体" w:eastAsia="宋体" w:cs="宋体"/>
          <w:sz w:val="21"/>
          <w:szCs w:val="21"/>
          <w:u w:val="single" w:color="auto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 D  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 xml:space="preserve">      </w:t>
      </w:r>
    </w:p>
    <w:tbl>
      <w:tblPr>
        <w:tblStyle w:val="4"/>
        <w:tblW w:w="7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5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9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手术医生批签意见：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51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预约手术日期：</w:t>
            </w:r>
            <w:r>
              <w:rPr>
                <w:rFonts w:hint="eastAsia" w:ascii="宋体" w:hAnsi="宋体" w:cs="宋体"/>
                <w:sz w:val="21"/>
                <w:szCs w:val="21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u w:val="single" w:color="auto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u w:val="single" w:color="auto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51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医生签名：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3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 w:color="auto"/>
                <w:vertAlign w:val="baseline"/>
                <w:lang w:val="en-US" w:eastAsia="zh-CN"/>
              </w:rPr>
              <w:t>医院（盖章）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检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查</w:t>
      </w:r>
    </w:p>
    <w:p>
      <w:pPr>
        <w:keepNext w:val="0"/>
        <w:keepLines w:val="0"/>
        <w:pageBreakBefore w:val="0"/>
        <w:widowControl w:val="0"/>
        <w:tabs>
          <w:tab w:val="left" w:pos="630"/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558" w:leftChars="0" w:right="0" w:rightChars="0" w:hanging="558" w:hangingChars="266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单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粘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贴</w:t>
      </w:r>
    </w:p>
    <w:p>
      <w:pPr>
        <w:keepNext w:val="0"/>
        <w:keepLines w:val="0"/>
        <w:pageBreakBefore w:val="0"/>
        <w:widowControl w:val="0"/>
        <w:tabs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u w:val="non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val="en-US" w:eastAsia="zh-CN"/>
        </w:rPr>
        <w:t>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156" w:beforeLines="50" w:after="156" w:afterLines="50" w:line="420" w:lineRule="exact"/>
      <w:ind w:left="0" w:leftChars="0" w:right="0" w:rightChars="0" w:firstLine="888" w:firstLineChars="0"/>
      <w:jc w:val="center"/>
      <w:textAlignment w:val="auto"/>
      <w:outlineLvl w:val="9"/>
      <w:rPr>
        <w:rFonts w:hint="eastAsia" w:ascii="华文行楷" w:hAnsi="华文行楷" w:eastAsia="华文行楷" w:cs="华文行楷"/>
        <w:b/>
        <w:bCs/>
        <w:color w:val="auto"/>
        <w:sz w:val="48"/>
        <w:szCs w:val="48"/>
        <w:lang w:eastAsia="zh-CN"/>
      </w:rPr>
    </w:pPr>
    <w:r>
      <w:rPr>
        <w:b/>
        <w:bCs/>
        <w:color w:val="auto"/>
        <w:sz w:val="44"/>
        <w:szCs w:val="4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4666615</wp:posOffset>
          </wp:positionH>
          <wp:positionV relativeFrom="paragraph">
            <wp:posOffset>-24765</wp:posOffset>
          </wp:positionV>
          <wp:extent cx="819150" cy="819150"/>
          <wp:effectExtent l="0" t="0" r="0" b="0"/>
          <wp:wrapNone/>
          <wp:docPr id="3" name="Picture 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hAnsi="华文行楷" w:eastAsia="华文行楷" w:cs="华文行楷"/>
        <w:b/>
        <w:bCs/>
        <w:color w:val="auto"/>
        <w:sz w:val="48"/>
        <w:szCs w:val="48"/>
        <w:lang w:val="en-US" w:eastAsia="zh-CN"/>
      </w:rPr>
      <w:t xml:space="preserve">                               </w:t>
    </w:r>
    <w:r>
      <w:rPr>
        <w:rFonts w:hint="eastAsia" w:ascii="华文行楷" w:hAnsi="华文行楷" w:eastAsia="华文行楷" w:cs="华文行楷"/>
        <w:b/>
        <w:bCs/>
        <w:color w:val="auto"/>
        <w:sz w:val="48"/>
        <w:szCs w:val="48"/>
        <w:lang w:eastAsia="zh-CN"/>
      </w:rPr>
      <w:t>慈善·健康光明行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156" w:beforeLines="50" w:after="156" w:afterLines="50" w:line="420" w:lineRule="exact"/>
      <w:ind w:left="0" w:leftChars="0" w:right="0" w:rightChars="0" w:firstLine="888" w:firstLineChars="0"/>
      <w:jc w:val="center"/>
      <w:textAlignment w:val="auto"/>
      <w:outlineLvl w:val="9"/>
      <w:rPr>
        <w:rFonts w:hint="eastAsia" w:ascii="宋体" w:hAnsi="宋体" w:eastAsia="楷体" w:cs="宋体"/>
        <w:b w:val="0"/>
        <w:bCs w:val="0"/>
        <w:color w:val="auto"/>
        <w:sz w:val="28"/>
        <w:szCs w:val="28"/>
        <w:lang w:eastAsia="zh-CN"/>
      </w:rPr>
    </w:pPr>
    <w:r>
      <w:rPr>
        <w:b/>
        <w:bCs/>
        <w:color w:val="auto"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5015230</wp:posOffset>
              </wp:positionH>
              <wp:positionV relativeFrom="paragraph">
                <wp:posOffset>337185</wp:posOffset>
              </wp:positionV>
              <wp:extent cx="3475355" cy="444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475355" cy="4445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000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394.9pt;margin-top:26.55pt;height:0.35pt;width:273.65pt;z-index:251662336;mso-width-relative:page;mso-height-relative:page;" filled="f" stroked="t" coordsize="21600,21600" o:gfxdata="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uLkmy&#10;2QAAAAoBAAAPAAAAAAAAAAEAIAAAACIAAABkcnMvZG93bnJldi54bWxQSwECFAAUAAAACACHTuJA&#10;NUpJJOcBAACkAwAADgAAAAAAAAABACAAAAAoAQAAZHJzL2Uyb0RvYy54bWxQSwUGAAAAAAYABgBZ&#10;AQAAgQUAAAAA&#10;">
              <v:fill on="f" focussize="0,0"/>
              <v:stroke weight="3pt" color="#00008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 w:cs="楷体"/>
        <w:b/>
        <w:bCs/>
        <w:color w:val="auto"/>
        <w:sz w:val="28"/>
        <w:szCs w:val="28"/>
        <w:lang w:val="en-US" w:eastAsia="zh-CN"/>
      </w:rPr>
      <w:t xml:space="preserve">                                                        </w:t>
    </w:r>
  </w:p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40FFA"/>
    <w:multiLevelType w:val="singleLevel"/>
    <w:tmpl w:val="54040F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05D53"/>
    <w:rsid w:val="1D8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2020-06-23T04:28:00Z</dcterms:created>
  <dc:creator>cloe</dc:creator>
  <cp:lastModifiedBy>cloe</cp:lastModifiedBy>
  <dcterms:modified xsi:type="dcterms:W3CDTF">2020-06-23T04:47:54Z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